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A" w:rsidRPr="004A3F94" w:rsidRDefault="00014F8A" w:rsidP="00014F8A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sr"/>
        </w:rPr>
        <w:t xml:space="preserve">ПАРЛАМЕНТАРНИ ОДБОР ЗА </w:t>
      </w:r>
      <w:r>
        <w:rPr>
          <w:rFonts w:cstheme="minorHAnsi"/>
          <w:sz w:val="28"/>
          <w:szCs w:val="28"/>
          <w:lang w:val="sr"/>
        </w:rPr>
        <w:br/>
      </w:r>
      <w:r>
        <w:rPr>
          <w:rFonts w:cstheme="minorHAnsi"/>
          <w:b/>
          <w:bCs/>
          <w:sz w:val="28"/>
          <w:szCs w:val="28"/>
          <w:lang w:val="sr"/>
        </w:rPr>
        <w:t>СТАБИЛИЗАЦИЈУ и ПРИДРУЖИВАЊЕ ЕВРОПСКЕ УНИЈЕ</w:t>
      </w:r>
      <w:r>
        <w:rPr>
          <w:rFonts w:cstheme="minorHAnsi"/>
          <w:sz w:val="28"/>
          <w:szCs w:val="28"/>
          <w:lang w:val="sr"/>
        </w:rPr>
        <w:br/>
      </w:r>
      <w:r>
        <w:rPr>
          <w:rFonts w:cstheme="minorHAnsi"/>
          <w:b/>
          <w:bCs/>
          <w:sz w:val="28"/>
          <w:szCs w:val="28"/>
          <w:lang w:val="sr"/>
        </w:rPr>
        <w:t xml:space="preserve"> И СРБИЈЕ (ПОСП)</w:t>
      </w:r>
      <w:r>
        <w:rPr>
          <w:rFonts w:cstheme="minorHAnsi"/>
          <w:sz w:val="28"/>
          <w:szCs w:val="28"/>
          <w:lang w:val="sr"/>
        </w:rPr>
        <w:br/>
      </w: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</w:rPr>
      </w:pP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</w:rPr>
      </w:pPr>
      <w:r>
        <w:rPr>
          <w:rFonts w:cstheme="minorHAnsi"/>
          <w:lang w:val="sr"/>
        </w:rPr>
        <w:t>9. састанак</w:t>
      </w:r>
    </w:p>
    <w:p w:rsidR="00014F8A" w:rsidRDefault="00014F8A" w:rsidP="00014F8A">
      <w:pPr>
        <w:jc w:val="center"/>
        <w:outlineLvl w:val="0"/>
        <w:rPr>
          <w:rFonts w:asciiTheme="minorHAnsi" w:hAnsiTheme="minorHAnsi" w:cstheme="minorHAnsi"/>
        </w:rPr>
      </w:pPr>
      <w:r>
        <w:rPr>
          <w:rFonts w:cstheme="minorHAnsi"/>
          <w:lang w:val="sr"/>
        </w:rPr>
        <w:t>29-30. октобар 2018.</w:t>
      </w:r>
      <w:r>
        <w:rPr>
          <w:rFonts w:cstheme="minorHAnsi"/>
          <w:lang w:val="sr"/>
        </w:rPr>
        <w:br/>
        <w:t>Београд</w:t>
      </w: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</w:rPr>
      </w:pPr>
    </w:p>
    <w:p w:rsidR="00014F8A" w:rsidRDefault="00014F8A" w:rsidP="00014F8A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lang w:val="sr"/>
        </w:rPr>
        <w:t>ДЕКЛАРАЦИЈA и ПРЕПОРУКE</w:t>
      </w: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014F8A" w:rsidRPr="00B538BE" w:rsidRDefault="00014F8A" w:rsidP="00014F8A">
      <w:r w:rsidRPr="00B538BE">
        <w:rPr>
          <w:lang w:val="sr"/>
        </w:rPr>
        <w:t xml:space="preserve">Парламентарни одбор за стабилизацију и придруживање Европске уније и Србије (ПОСП) одржао је свој девети састанак 29. и 30. октобра 2018. године у Београду којим су копредседавали г. Едвард КУКАН, испред делегације Европског парламента, и г. Владимир ОРЛИЋ, испред делегације Народне скупштине Републике Србије. </w:t>
      </w:r>
    </w:p>
    <w:p w:rsidR="00096D31" w:rsidRPr="00B538BE" w:rsidRDefault="00096D31" w:rsidP="00014F8A"/>
    <w:p w:rsidR="00014F8A" w:rsidRPr="00B538BE" w:rsidRDefault="00014F8A" w:rsidP="00014F8A">
      <w:r w:rsidRPr="00B538BE">
        <w:rPr>
          <w:lang w:val="sr"/>
        </w:rPr>
        <w:t xml:space="preserve">У размени ставова </w:t>
      </w:r>
      <w:r w:rsidRPr="00E46CDB">
        <w:rPr>
          <w:lang w:val="sr"/>
        </w:rPr>
        <w:t>са Одбором</w:t>
      </w:r>
      <w:r w:rsidRPr="00B538BE">
        <w:rPr>
          <w:lang w:val="sr"/>
        </w:rPr>
        <w:t xml:space="preserve"> учествовали су:</w:t>
      </w:r>
    </w:p>
    <w:p w:rsidR="00014F8A" w:rsidRPr="00B538BE" w:rsidRDefault="00014F8A" w:rsidP="00014F8A"/>
    <w:p w:rsidR="00A52B0F" w:rsidRPr="00B538BE" w:rsidRDefault="00A52B0F" w:rsidP="00A52B0F">
      <w:pPr>
        <w:numPr>
          <w:ilvl w:val="0"/>
          <w:numId w:val="2"/>
        </w:numPr>
        <w:snapToGrid w:val="0"/>
        <w:spacing w:after="120" w:line="276" w:lineRule="auto"/>
        <w:ind w:left="709" w:hanging="425"/>
        <w:jc w:val="left"/>
        <w:outlineLvl w:val="0"/>
      </w:pPr>
      <w:r w:rsidRPr="00B538BE">
        <w:rPr>
          <w:b/>
          <w:bCs/>
          <w:lang w:val="sr"/>
        </w:rPr>
        <w:t xml:space="preserve">Њ.Е. </w:t>
      </w:r>
      <w:r w:rsidRPr="00B538BE">
        <w:rPr>
          <w:lang w:val="sr"/>
        </w:rPr>
        <w:t xml:space="preserve"> </w:t>
      </w:r>
      <w:r w:rsidRPr="00B538BE">
        <w:rPr>
          <w:b/>
          <w:bCs/>
          <w:lang w:val="sr"/>
        </w:rPr>
        <w:t xml:space="preserve">г. </w:t>
      </w:r>
      <w:r w:rsidRPr="00B538BE">
        <w:rPr>
          <w:b/>
          <w:bCs/>
          <w:color w:val="000000" w:themeColor="text1"/>
          <w:lang w:val="sr"/>
        </w:rPr>
        <w:t xml:space="preserve">Николаус </w:t>
      </w:r>
      <w:r w:rsidR="00E6457A" w:rsidRPr="00B538BE">
        <w:rPr>
          <w:b/>
          <w:bCs/>
          <w:color w:val="000000" w:themeColor="text1"/>
          <w:lang w:val="sr"/>
        </w:rPr>
        <w:t>ЛУТЕРОТИ</w:t>
      </w:r>
      <w:r w:rsidRPr="00B538BE">
        <w:rPr>
          <w:lang w:val="sr"/>
        </w:rPr>
        <w:t>, амбасадор Аустрије у Републици Србији, у име аустријског председавања Савету,</w:t>
      </w:r>
    </w:p>
    <w:p w:rsidR="00A52B0F" w:rsidRPr="00B538BE" w:rsidRDefault="00A52B0F" w:rsidP="00A52B0F">
      <w:pPr>
        <w:numPr>
          <w:ilvl w:val="0"/>
          <w:numId w:val="2"/>
        </w:numPr>
        <w:snapToGrid w:val="0"/>
        <w:spacing w:after="120" w:line="276" w:lineRule="auto"/>
        <w:ind w:left="709" w:hanging="425"/>
        <w:jc w:val="left"/>
        <w:outlineLvl w:val="0"/>
      </w:pPr>
      <w:r w:rsidRPr="00B538BE">
        <w:rPr>
          <w:b/>
          <w:bCs/>
          <w:lang w:val="sr"/>
        </w:rPr>
        <w:t xml:space="preserve">Њ.Е. </w:t>
      </w:r>
      <w:r w:rsidRPr="00B538BE">
        <w:rPr>
          <w:b/>
          <w:lang w:val="sr"/>
        </w:rPr>
        <w:t xml:space="preserve"> г</w:t>
      </w:r>
      <w:r w:rsidRPr="00B538BE">
        <w:rPr>
          <w:lang w:val="sr"/>
        </w:rPr>
        <w:t xml:space="preserve">. </w:t>
      </w:r>
      <w:r w:rsidRPr="00B538BE">
        <w:rPr>
          <w:b/>
          <w:bCs/>
          <w:lang w:val="sr"/>
        </w:rPr>
        <w:t>Сем ФАБ</w:t>
      </w:r>
      <w:r w:rsidR="00CB5A5F">
        <w:rPr>
          <w:b/>
          <w:bCs/>
          <w:lang w:val="sr-Cyrl-RS"/>
        </w:rPr>
        <w:t>Р</w:t>
      </w:r>
      <w:r w:rsidRPr="00B538BE">
        <w:rPr>
          <w:b/>
          <w:bCs/>
          <w:lang w:val="sr"/>
        </w:rPr>
        <w:t>ИЦИ</w:t>
      </w:r>
      <w:r w:rsidRPr="00B538BE">
        <w:rPr>
          <w:lang w:val="sr"/>
        </w:rPr>
        <w:t>, амбасадор Европске уније у Србији, у име Европске комисије,</w:t>
      </w:r>
    </w:p>
    <w:p w:rsidR="00A52B0F" w:rsidRPr="00B538BE" w:rsidRDefault="00A52B0F" w:rsidP="00A52B0F">
      <w:pPr>
        <w:numPr>
          <w:ilvl w:val="0"/>
          <w:numId w:val="2"/>
        </w:numPr>
        <w:snapToGrid w:val="0"/>
        <w:spacing w:after="120" w:line="276" w:lineRule="auto"/>
        <w:ind w:left="709" w:hanging="425"/>
        <w:jc w:val="left"/>
        <w:outlineLvl w:val="0"/>
      </w:pPr>
      <w:r w:rsidRPr="00B538BE">
        <w:rPr>
          <w:b/>
          <w:bCs/>
          <w:lang w:val="sr"/>
        </w:rPr>
        <w:t>гђа Јадранка ЈОКСИМОВИЋ</w:t>
      </w:r>
      <w:r w:rsidRPr="00B538BE">
        <w:rPr>
          <w:lang w:val="sr"/>
        </w:rPr>
        <w:t>, министарка за Европске интеграције</w:t>
      </w:r>
      <w:r w:rsidRPr="00B538BE">
        <w:rPr>
          <w:lang w:val="sr"/>
        </w:rPr>
        <w:br/>
        <w:t xml:space="preserve">у име Владе Србије. </w:t>
      </w:r>
    </w:p>
    <w:p w:rsidR="00014F8A" w:rsidRPr="00B538BE" w:rsidRDefault="00014F8A" w:rsidP="00014F8A">
      <w:pPr>
        <w:spacing w:after="120" w:line="276" w:lineRule="auto"/>
        <w:ind w:left="709"/>
        <w:contextualSpacing/>
        <w:jc w:val="left"/>
        <w:outlineLvl w:val="0"/>
        <w:rPr>
          <w:highlight w:val="yellow"/>
        </w:rPr>
      </w:pPr>
    </w:p>
    <w:p w:rsidR="00014F8A" w:rsidRPr="00B538BE" w:rsidRDefault="00014F8A" w:rsidP="00014F8A">
      <w:pPr>
        <w:rPr>
          <w:lang w:val="sr"/>
        </w:rPr>
      </w:pPr>
      <w:r w:rsidRPr="00B538BE">
        <w:rPr>
          <w:lang w:val="sr"/>
        </w:rPr>
        <w:t>Чланови Парламентарног одбора за стабилизацију и придруживање разматрали су следеће теме:</w:t>
      </w:r>
    </w:p>
    <w:p w:rsidR="00B44FFE" w:rsidRPr="00B538BE" w:rsidRDefault="00B44FFE" w:rsidP="00014F8A"/>
    <w:p w:rsidR="00014F8A" w:rsidRPr="00B538BE" w:rsidRDefault="00014F8A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 w:rsidRPr="00B538BE">
        <w:rPr>
          <w:lang w:val="sr"/>
        </w:rPr>
        <w:t>Тренутна ситуација у претприступним преговорима и односима између ЕУ и Србије;</w:t>
      </w:r>
    </w:p>
    <w:p w:rsidR="00014F8A" w:rsidRPr="00B538BE" w:rsidRDefault="00014F8A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 w:rsidRPr="00B538BE">
        <w:rPr>
          <w:lang w:val="sr"/>
        </w:rPr>
        <w:t>Ситуација у погледу преговарачких поглавља 23 и 24, укључујући правосуђе, уставне реформе, основнa правa, слободу медија и професионализам;</w:t>
      </w:r>
    </w:p>
    <w:p w:rsidR="00014F8A" w:rsidRPr="00B538BE" w:rsidRDefault="00014F8A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 w:rsidRPr="00B538BE">
        <w:rPr>
          <w:lang w:val="sr"/>
        </w:rPr>
        <w:t>Економски развој;</w:t>
      </w:r>
    </w:p>
    <w:p w:rsidR="00014F8A" w:rsidRPr="00B538BE" w:rsidRDefault="00014F8A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  <w:rPr>
          <w:color w:val="000000"/>
        </w:rPr>
      </w:pPr>
      <w:r w:rsidRPr="00B538BE">
        <w:rPr>
          <w:lang w:val="sr"/>
        </w:rPr>
        <w:t>Најновији развој догађаја у дијалогу између Београда и Приштине уз посредовање ЕУ;</w:t>
      </w:r>
    </w:p>
    <w:p w:rsidR="00014F8A" w:rsidRPr="00B538BE" w:rsidRDefault="00014F8A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 w:rsidRPr="00B538BE">
        <w:rPr>
          <w:lang w:val="sr"/>
        </w:rPr>
        <w:t>Спољна, безбедносна и одбрамбена политика и сарадња</w:t>
      </w:r>
      <w:r w:rsidRPr="00B538BE">
        <w:rPr>
          <w:color w:val="000000"/>
          <w:lang w:val="sr"/>
        </w:rPr>
        <w:t>;</w:t>
      </w:r>
    </w:p>
    <w:p w:rsidR="00014F8A" w:rsidRPr="00B538BE" w:rsidRDefault="008D5692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 w:rsidRPr="00B538BE">
        <w:rPr>
          <w:color w:val="000000"/>
          <w:lang w:val="sr"/>
        </w:rPr>
        <w:t>Претприступна помоћ ЕУ Србији и представљање бенефита ЕУ грађанима;</w:t>
      </w:r>
    </w:p>
    <w:p w:rsidR="00014F8A" w:rsidRPr="00B538BE" w:rsidRDefault="00014F8A" w:rsidP="00014F8A">
      <w:pPr>
        <w:tabs>
          <w:tab w:val="left" w:pos="426"/>
        </w:tabs>
      </w:pPr>
      <w:r w:rsidRPr="00B538BE">
        <w:rPr>
          <w:lang w:val="sr"/>
        </w:rPr>
        <w:t>Парламентарни одбор за стабилизацију и придруживање, у складу са чланом 7. Пословника и чланом 125. Споразума о стабилизацији и придруживању Европске у</w:t>
      </w:r>
      <w:r w:rsidR="00B44FFE" w:rsidRPr="00B538BE">
        <w:rPr>
          <w:lang w:val="sr"/>
        </w:rPr>
        <w:t xml:space="preserve">није и Србије, упућује следећу </w:t>
      </w:r>
      <w:r w:rsidR="00B44FFE" w:rsidRPr="00B538BE">
        <w:rPr>
          <w:lang w:val="sr-Cyrl-RS"/>
        </w:rPr>
        <w:t>Д</w:t>
      </w:r>
      <w:r w:rsidRPr="00B538BE">
        <w:rPr>
          <w:lang w:val="sr"/>
        </w:rPr>
        <w:t>екларацију и препоруке Савету за стабилизацију и придруживање и институцијама Србије и Европске Уније:</w:t>
      </w:r>
    </w:p>
    <w:p w:rsidR="008765BE" w:rsidRPr="00B538BE" w:rsidRDefault="00014F8A" w:rsidP="00434873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lastRenderedPageBreak/>
        <w:t xml:space="preserve">Поздравља сталан напредак који Србија остварује у приступним преговорима, што је довело до отварања укупно 14 преговарачких поглавља, од којих су два привремено затворена; </w:t>
      </w:r>
      <w:r w:rsidRPr="00B538BE">
        <w:rPr>
          <w:color w:val="000000" w:themeColor="text1"/>
          <w:lang w:val="sr"/>
        </w:rPr>
        <w:t xml:space="preserve">поздравља отварање преговарачких поглавља 13 (Рибарство) и 33 (Финансијске и буџетске одредбе); </w:t>
      </w:r>
      <w:r w:rsidRPr="00B538BE">
        <w:rPr>
          <w:lang w:val="sr"/>
        </w:rPr>
        <w:t>подсећа да је остваривање стабилног напретка земље у оквиру поглавља 23 и 24 о владавини права, као и у процесу нормализације односа у оквиру поглавља 35 и даље од суштинског значаја за целокупну динамику процеса преговора, у складу са Преговарачким оквиром и позива на остваривање опипљивог и одрживог напретка у том погледу; позива Савет и Комисију да подрже отварање додатних технички припремљених поглавља и истиче потребу за утемељеним, транспарентним и конструктивним јавним расправама о ЕУ, њеним институцијама и импликацијама чланства; позива Владу Републике Србије</w:t>
      </w:r>
      <w:r w:rsidR="00FC596F" w:rsidRPr="00B538BE">
        <w:rPr>
          <w:lang w:val="sr-Cyrl-RS"/>
        </w:rPr>
        <w:t>, у сарањи са</w:t>
      </w:r>
      <w:r w:rsidR="00F640CD" w:rsidRPr="00B538BE">
        <w:rPr>
          <w:lang w:val="sr-Cyrl-RS"/>
        </w:rPr>
        <w:t xml:space="preserve"> Европском комисијом, </w:t>
      </w:r>
      <w:r w:rsidR="00886F59">
        <w:rPr>
          <w:lang w:val="sr-Cyrl-RS"/>
        </w:rPr>
        <w:t xml:space="preserve">да </w:t>
      </w:r>
      <w:r w:rsidR="00F640CD" w:rsidRPr="00B538BE">
        <w:rPr>
          <w:lang w:val="sr-Cyrl-RS"/>
        </w:rPr>
        <w:t>наставе</w:t>
      </w:r>
      <w:r w:rsidRPr="00B538BE">
        <w:rPr>
          <w:lang w:val="sr"/>
        </w:rPr>
        <w:t xml:space="preserve"> са њиховим координираним радом на сталном повећању свести грађана о практичним бенефитима европских интеграција; поздравља то што је према недавним испитивањима јавног мњења, повећана подршка грађана приступању Србије Европској унији; подржава изгледе Србије за чланство до 2025. године који треба да буду оствариви уз значајно интензивирање реформи у предстојећим годинама;</w:t>
      </w:r>
    </w:p>
    <w:p w:rsidR="00014F8A" w:rsidRPr="00B538BE" w:rsidRDefault="00014F8A" w:rsidP="00014F8A">
      <w:pPr>
        <w:pStyle w:val="ListParagraph"/>
      </w:pPr>
    </w:p>
    <w:p w:rsidR="00014F8A" w:rsidRPr="00B538BE" w:rsidRDefault="00014F8A" w:rsidP="00D0149E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 xml:space="preserve">Поздравља посредовање ЕУ у дијалогу између Београда и Приштине на највишем политичком нивоу преко Високе представнице/потпредседнице Могерини како би се постигао правно обавезујући споразум о свеобухватној нормализацији односа; понавља позив на пуно спровођење свих договора који су постигнути у дијалогу </w:t>
      </w:r>
      <w:r w:rsidRPr="00E46CDB">
        <w:rPr>
          <w:lang w:val="sr"/>
        </w:rPr>
        <w:t>између Београда и Приштине</w:t>
      </w:r>
      <w:r w:rsidRPr="00B538BE">
        <w:rPr>
          <w:lang w:val="sr"/>
        </w:rPr>
        <w:t xml:space="preserve"> уз посредовање ЕУ, а нарочито апелује да се успостави Заједница српских општина и да се спроведе договор о енергетици; поздравља важне кор</w:t>
      </w:r>
      <w:r w:rsidR="00320FE5">
        <w:rPr>
          <w:lang w:val="sr"/>
        </w:rPr>
        <w:t xml:space="preserve">аке које је предузео Београд у </w:t>
      </w:r>
      <w:r w:rsidR="00320FE5">
        <w:rPr>
          <w:lang w:val="sr-Cyrl-RS"/>
        </w:rPr>
        <w:t>д</w:t>
      </w:r>
      <w:r w:rsidRPr="00B538BE">
        <w:rPr>
          <w:lang w:val="sr"/>
        </w:rPr>
        <w:t xml:space="preserve">ијалогу о нормализацији односа са Приштином; </w:t>
      </w:r>
    </w:p>
    <w:p w:rsidR="00014F8A" w:rsidRPr="00B538BE" w:rsidRDefault="00014F8A" w:rsidP="00014F8A">
      <w:pPr>
        <w:pStyle w:val="ListParagraph"/>
      </w:pPr>
    </w:p>
    <w:p w:rsidR="00014F8A" w:rsidRPr="00B538BE" w:rsidRDefault="00014F8A" w:rsidP="00014F8A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>Поздравља високу стопу раста привреде Србије и то што је Србија ојачала финансијску стабилност, нарочито у погледу суфицита у буџету и тога што је реални раст БДП-а у другом кварталу 2018. године, у поређењу са одговарајућим периодом претходне године, износио 4,8%, што је Србију уврстило међу европске привреде са најбржим растом; похваљује већу трговину са ЕУ и то што Србија привлачи већину СДИ у региону, што је довело до стварања нових радних места за грађане Србије; подстиче Србију да још више ради на повећању како јавних, тако и приватних инвестиција и на спровођењу осталих реформи које су представљене у Програму економских реформи за период од 2018. до 2020. године, нарочито у областима фискалних правила, енергетских тржишта, управљања порезима, контроли државне помоћи и порезима на рад; истиче огромну улогу малих и средњих предузећа за привреду и важност постојања програма подршке за њихов развој, нарочито у области ИТ и дигиталне економије; констатује да све већи број кључних инфраструктурних пројеката финансирају треће земље и констатује важност транспарентности и поштовања стандарда ЕУ као општег правила; истиче да се пословно окружење побољшало и да се стопа незапослености значајно смањила и позива на више приватних инвестиција;</w:t>
      </w:r>
      <w:r w:rsidR="007D42AD">
        <w:rPr>
          <w:lang w:val="sr"/>
        </w:rPr>
        <w:t xml:space="preserve"> </w:t>
      </w:r>
      <w:r w:rsidR="007D42AD">
        <w:rPr>
          <w:lang w:val="sr-Cyrl-RS"/>
        </w:rPr>
        <w:t>позива на отварање Европск</w:t>
      </w:r>
      <w:r w:rsidR="00320FE5">
        <w:rPr>
          <w:lang w:val="sr-Cyrl-RS"/>
        </w:rPr>
        <w:t>ог социјалног фонда који би користила Србија</w:t>
      </w:r>
      <w:r w:rsidR="007D42AD">
        <w:rPr>
          <w:lang w:val="sr-Cyrl-RS"/>
        </w:rPr>
        <w:t>;</w:t>
      </w:r>
    </w:p>
    <w:p w:rsidR="00014F8A" w:rsidRPr="00B538BE" w:rsidRDefault="00014F8A" w:rsidP="00014F8A">
      <w:pPr>
        <w:pStyle w:val="ListParagraph"/>
      </w:pPr>
    </w:p>
    <w:p w:rsidR="00014F8A" w:rsidRPr="00B538BE" w:rsidRDefault="00014F8A" w:rsidP="00E74AFB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>Пон</w:t>
      </w:r>
      <w:r w:rsidR="001B2E52">
        <w:rPr>
          <w:lang w:val="sr"/>
        </w:rPr>
        <w:t xml:space="preserve">авља позив Србији да </w:t>
      </w:r>
      <w:r w:rsidR="001B2E52" w:rsidRPr="0099638F">
        <w:rPr>
          <w:lang w:val="sr"/>
        </w:rPr>
        <w:t>п</w:t>
      </w:r>
      <w:r w:rsidR="001B2E52" w:rsidRPr="0099638F">
        <w:rPr>
          <w:lang w:val="sr-Cyrl-RS"/>
        </w:rPr>
        <w:t>остепено</w:t>
      </w:r>
      <w:r w:rsidRPr="00B538BE">
        <w:rPr>
          <w:lang w:val="sr"/>
        </w:rPr>
        <w:t xml:space="preserve"> усклади своју спољну и безбедносну политику са политиком ЕУ, у складу са захтевима свог статуса кандидата и </w:t>
      </w:r>
      <w:r w:rsidRPr="00B538BE">
        <w:rPr>
          <w:lang w:val="sr"/>
        </w:rPr>
        <w:lastRenderedPageBreak/>
        <w:t>захтевима из Споразума о стабилизацији и придруживању и изражава очекивање да ће се повећати ниво усклађености са ЗСБП ЕУ; поздравља учешће Србије у четири мисије и операције ЕУ у оквиру спровођења Заједничке безбедносне и одбрамбене политике и у листи борбених група ЕУ, као и њену сарадњу у борби против терористичких претњи, ирегуларних миграција и организованог криминала и у заједничким активностима у оквиру програма „Партнерство за мир”;</w:t>
      </w:r>
    </w:p>
    <w:p w:rsidR="00014F8A" w:rsidRPr="00B538BE" w:rsidRDefault="00014F8A" w:rsidP="00014F8A">
      <w:pPr>
        <w:pStyle w:val="ListParagraph"/>
      </w:pPr>
    </w:p>
    <w:p w:rsidR="00014F8A" w:rsidRPr="00B538BE" w:rsidRDefault="003409F6" w:rsidP="00AD231A">
      <w:pPr>
        <w:pStyle w:val="ListParagraph"/>
        <w:numPr>
          <w:ilvl w:val="0"/>
          <w:numId w:val="3"/>
        </w:numPr>
      </w:pPr>
      <w:r w:rsidRPr="00B538BE">
        <w:rPr>
          <w:rFonts w:eastAsia="Arial Unicode MS"/>
          <w:color w:val="000000"/>
          <w:u w:color="000000"/>
          <w:bdr w:val="nil"/>
          <w:lang w:val="sr"/>
        </w:rPr>
        <w:t xml:space="preserve">Поздравља одлуку Србије да обустави безвизни режим за путовања </w:t>
      </w:r>
      <w:r w:rsidR="00F640CD" w:rsidRPr="00B538BE">
        <w:rPr>
          <w:rFonts w:eastAsia="Arial Unicode MS"/>
          <w:color w:val="000000"/>
          <w:u w:color="000000"/>
          <w:bdr w:val="nil"/>
          <w:lang w:val="sr-Cyrl-RS"/>
        </w:rPr>
        <w:t>држављана</w:t>
      </w:r>
      <w:r w:rsidRPr="00B538BE">
        <w:rPr>
          <w:rFonts w:eastAsia="Arial Unicode MS"/>
          <w:color w:val="000000"/>
          <w:u w:color="000000"/>
          <w:bdr w:val="nil"/>
          <w:lang w:val="sr"/>
        </w:rPr>
        <w:t xml:space="preserve"> Ирана и подстиче Србију да </w:t>
      </w:r>
      <w:r w:rsidR="005477B1" w:rsidRPr="00B538BE">
        <w:rPr>
          <w:rFonts w:eastAsia="Arial Unicode MS"/>
          <w:color w:val="000000"/>
          <w:u w:color="000000"/>
          <w:bdr w:val="nil"/>
          <w:lang w:val="sr-Cyrl-RS"/>
        </w:rPr>
        <w:t>постепено</w:t>
      </w:r>
      <w:r w:rsidRPr="00B538BE">
        <w:rPr>
          <w:rFonts w:eastAsia="Arial Unicode MS"/>
          <w:color w:val="000000"/>
          <w:u w:color="000000"/>
          <w:bdr w:val="nil"/>
          <w:lang w:val="sr"/>
        </w:rPr>
        <w:t xml:space="preserve"> усклади своју визну политику са политиком ЕУ; </w:t>
      </w:r>
    </w:p>
    <w:p w:rsidR="00A5177C" w:rsidRPr="00B538BE" w:rsidRDefault="00A5177C" w:rsidP="00A5177C">
      <w:pPr>
        <w:pStyle w:val="ListParagraph"/>
      </w:pPr>
    </w:p>
    <w:p w:rsidR="00014F8A" w:rsidRPr="00B538BE" w:rsidRDefault="00014F8A" w:rsidP="00E65BBE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 xml:space="preserve">Констатује да је остварен одређен напредак у области правосуђа; истиче потребу за даљим реформама које гарантују раздвајање власти и јачање независности правосуђа, на основу широког и инклузивног процеса консултација; констатује да независност правосуђа у Србији још увек није у потпуности обезбеђена; поздравља то што су релевантни нацрти амандмана на Устав поднети Венецијанској комисији; поздравља што су поштоване препоруке које је Венецијанска комисија дала у свом мишљењу из </w:t>
      </w:r>
      <w:r w:rsidR="005477B1" w:rsidRPr="00B538BE">
        <w:rPr>
          <w:lang w:val="sr-Cyrl-RS"/>
        </w:rPr>
        <w:t>ј</w:t>
      </w:r>
      <w:r w:rsidRPr="00B538BE">
        <w:rPr>
          <w:lang w:val="sr"/>
        </w:rPr>
        <w:t xml:space="preserve">уна;  подстиче власти у Србији да наставе са стварањем конструктивног и позитивног окружења за јавне расправе о овом </w:t>
      </w:r>
      <w:r w:rsidR="005477B1" w:rsidRPr="00B538BE">
        <w:rPr>
          <w:lang w:val="sr"/>
        </w:rPr>
        <w:t>важном процесу измене Устава;</w:t>
      </w:r>
      <w:r w:rsidR="005477B1" w:rsidRPr="00B538BE">
        <w:rPr>
          <w:lang w:val="sr-Cyrl-RS"/>
        </w:rPr>
        <w:t xml:space="preserve"> </w:t>
      </w:r>
      <w:r w:rsidRPr="00B538BE">
        <w:rPr>
          <w:lang w:val="sr"/>
        </w:rPr>
        <w:t>похваљује смањење нерешених предмета и увођење мера за хармонизацију судске праксе; констатује, међутим, изостанак насумичне доделе предмета у свим судовима; позива власти да у потпуности спр</w:t>
      </w:r>
      <w:r w:rsidR="005477B1" w:rsidRPr="00B538BE">
        <w:rPr>
          <w:lang w:val="sr"/>
        </w:rPr>
        <w:t xml:space="preserve">оведу циљеве и мере утврђене у </w:t>
      </w:r>
      <w:r w:rsidR="005477B1" w:rsidRPr="00B538BE">
        <w:rPr>
          <w:lang w:val="sr-Cyrl-RS"/>
        </w:rPr>
        <w:t>А</w:t>
      </w:r>
      <w:r w:rsidRPr="00B538BE">
        <w:rPr>
          <w:lang w:val="sr"/>
        </w:rPr>
        <w:t xml:space="preserve">кционом плану за поглавље 23, укључујући усвајање законодавства о бесплатној правној помоћи и заштити података о личности; </w:t>
      </w:r>
    </w:p>
    <w:p w:rsidR="00014F8A" w:rsidRPr="00B538BE" w:rsidRDefault="00014F8A" w:rsidP="00014F8A">
      <w:pPr>
        <w:pStyle w:val="ListParagraph"/>
      </w:pPr>
    </w:p>
    <w:p w:rsidR="00014F8A" w:rsidRPr="00B538BE" w:rsidRDefault="00014F8A" w:rsidP="00554922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>Позива Србију да убрза спро</w:t>
      </w:r>
      <w:r w:rsidR="0004075E" w:rsidRPr="00B538BE">
        <w:rPr>
          <w:lang w:val="sr"/>
        </w:rPr>
        <w:t xml:space="preserve">вођење </w:t>
      </w:r>
      <w:r w:rsidR="0004075E" w:rsidRPr="00B538BE">
        <w:rPr>
          <w:lang w:val="sr-Cyrl-RS"/>
        </w:rPr>
        <w:t>Н</w:t>
      </w:r>
      <w:r w:rsidR="0004075E" w:rsidRPr="00B538BE">
        <w:rPr>
          <w:lang w:val="sr"/>
        </w:rPr>
        <w:t xml:space="preserve">ационалне стратегије и </w:t>
      </w:r>
      <w:r w:rsidR="0004075E" w:rsidRPr="00B538BE">
        <w:rPr>
          <w:lang w:val="sr-Cyrl-RS"/>
        </w:rPr>
        <w:t>А</w:t>
      </w:r>
      <w:r w:rsidRPr="00B538BE">
        <w:rPr>
          <w:lang w:val="sr"/>
        </w:rPr>
        <w:t>кционог плана за борбу против корупције и позива на успостављање почетног система праћења постигнутих резултата у истрагама, кривичном гоњењу и пресудама у случајевима корупције на високом нивоу и очекује усвајање новог Закона о Агенцији за борбу против корупције, без даљег одлагања; поздравља то што је Влада усвојила Закон о лобирању и поднела га Народној скупштини; подстиче Србију да настави са спровођењем препорука тела Савета Европе за борбу против корупције „GRECO“</w:t>
      </w:r>
      <w:r w:rsidRPr="00B538BE">
        <w:rPr>
          <w:szCs w:val="20"/>
          <w:lang w:val="sr"/>
        </w:rPr>
        <w:t>;</w:t>
      </w:r>
      <w:r w:rsidRPr="00B538BE">
        <w:rPr>
          <w:lang w:val="sr"/>
        </w:rPr>
        <w:t xml:space="preserve"> </w:t>
      </w:r>
      <w:r w:rsidRPr="00B538BE">
        <w:rPr>
          <w:szCs w:val="20"/>
          <w:lang w:val="sr"/>
        </w:rPr>
        <w:t>поздравља активну улогу Србије у међународној и регионалној</w:t>
      </w:r>
      <w:r w:rsidR="00BB175B" w:rsidRPr="00B538BE">
        <w:rPr>
          <w:szCs w:val="20"/>
          <w:lang w:val="sr-Cyrl-RS"/>
        </w:rPr>
        <w:t xml:space="preserve"> полицијској и правосудној сарадњи</w:t>
      </w:r>
      <w:r w:rsidRPr="00B538BE">
        <w:rPr>
          <w:szCs w:val="20"/>
          <w:lang w:val="sr"/>
        </w:rPr>
        <w:t>, напредак који је остварен у борби против организованог криминала и усвајање прве националне Процене претње од тешког и организованог криминала (SOCTA) Србије;</w:t>
      </w:r>
      <w:r w:rsidR="0004075E" w:rsidRPr="00B538BE">
        <w:rPr>
          <w:szCs w:val="20"/>
          <w:lang w:val="sr-Cyrl-RS"/>
        </w:rPr>
        <w:t xml:space="preserve"> </w:t>
      </w:r>
      <w:r w:rsidRPr="00B538BE">
        <w:rPr>
          <w:lang w:val="sr"/>
        </w:rPr>
        <w:t>наглашава сталну</w:t>
      </w:r>
      <w:r w:rsidR="00BB175B" w:rsidRPr="00B538BE">
        <w:rPr>
          <w:lang w:val="sr"/>
        </w:rPr>
        <w:t xml:space="preserve"> важност целокупног спровођења </w:t>
      </w:r>
      <w:r w:rsidR="00BB175B" w:rsidRPr="00B538BE">
        <w:rPr>
          <w:lang w:val="sr-Cyrl-RS"/>
        </w:rPr>
        <w:t>А</w:t>
      </w:r>
      <w:r w:rsidRPr="00B538BE">
        <w:rPr>
          <w:lang w:val="sr"/>
        </w:rPr>
        <w:t>кционог плана који је договорен са Радном групом за финансијске мере (FATF);</w:t>
      </w:r>
    </w:p>
    <w:p w:rsidR="00014F8A" w:rsidRPr="00B538BE" w:rsidRDefault="00014F8A" w:rsidP="00014F8A">
      <w:pPr>
        <w:pStyle w:val="ListParagraph"/>
      </w:pPr>
    </w:p>
    <w:p w:rsidR="00014F8A" w:rsidRPr="00B538BE" w:rsidRDefault="00A01212" w:rsidP="00014F8A">
      <w:pPr>
        <w:pStyle w:val="ListParagraph"/>
        <w:numPr>
          <w:ilvl w:val="0"/>
          <w:numId w:val="3"/>
        </w:numPr>
      </w:pPr>
      <w:r w:rsidRPr="00B538BE">
        <w:rPr>
          <w:lang w:val="sr-Cyrl-RS"/>
        </w:rPr>
        <w:t>Истиче</w:t>
      </w:r>
      <w:r w:rsidR="00014F8A" w:rsidRPr="00B538BE">
        <w:rPr>
          <w:lang w:val="sr"/>
        </w:rPr>
        <w:t xml:space="preserve"> важност парламентарне димензије у процесу</w:t>
      </w:r>
      <w:r w:rsidRPr="00B538BE">
        <w:rPr>
          <w:lang w:val="sr"/>
        </w:rPr>
        <w:t xml:space="preserve"> приступања ЕУ, као и међусобн</w:t>
      </w:r>
      <w:r w:rsidRPr="00B538BE">
        <w:rPr>
          <w:lang w:val="sr-Cyrl-RS"/>
        </w:rPr>
        <w:t xml:space="preserve">е </w:t>
      </w:r>
      <w:r w:rsidRPr="00B538BE">
        <w:rPr>
          <w:lang w:val="sr"/>
        </w:rPr>
        <w:t>сарадњ</w:t>
      </w:r>
      <w:r w:rsidRPr="00B538BE">
        <w:rPr>
          <w:lang w:val="sr-Cyrl-RS"/>
        </w:rPr>
        <w:t>е</w:t>
      </w:r>
      <w:r w:rsidR="00014F8A" w:rsidRPr="00B538BE">
        <w:rPr>
          <w:lang w:val="sr"/>
        </w:rPr>
        <w:t xml:space="preserve"> између радних тела националних парламената и Европског парламента; понавља своју забринутост да би честа употреба хитног поступка и других парламентарних пракси могли умањити делотворност парламента, квалитет и транспарентност проце</w:t>
      </w:r>
      <w:r w:rsidR="002637E2" w:rsidRPr="00B538BE">
        <w:rPr>
          <w:lang w:val="sr"/>
        </w:rPr>
        <w:t>са доношења закона, при чему</w:t>
      </w:r>
      <w:r w:rsidR="00014F8A" w:rsidRPr="00B538BE">
        <w:rPr>
          <w:lang w:val="sr"/>
        </w:rPr>
        <w:t xml:space="preserve"> не омогућавају увек довољно широке ј</w:t>
      </w:r>
      <w:r w:rsidR="002637E2" w:rsidRPr="00B538BE">
        <w:rPr>
          <w:lang w:val="sr"/>
        </w:rPr>
        <w:t xml:space="preserve">авне расправе и </w:t>
      </w:r>
      <w:r w:rsidR="002637E2" w:rsidRPr="00B538BE">
        <w:rPr>
          <w:lang w:val="sr-Cyrl-RS"/>
        </w:rPr>
        <w:t>расправе</w:t>
      </w:r>
      <w:r w:rsidR="00014F8A" w:rsidRPr="00B538BE">
        <w:rPr>
          <w:lang w:val="sr"/>
        </w:rPr>
        <w:t xml:space="preserve"> са заинтересованим странама; истиче да је надзорна функција парламента веома значајна у овом процесу и да стална сарадња са организацијама цивилног друштва (ОЦД) може додатно ојачати његову улогу; поздравља мере које су предузете у циљу </w:t>
      </w:r>
      <w:r w:rsidR="00014F8A" w:rsidRPr="00B538BE">
        <w:rPr>
          <w:lang w:val="sr"/>
        </w:rPr>
        <w:lastRenderedPageBreak/>
        <w:t>транспарентности и процеса консултација, укључујући јавна слушања, редовне састанке и консултације са Националним конвентом о Европској унији (НКЕУ), као важним делом поступка преговора; и похваљује сарадњу између релевантних парламентарних одбора, као и између Одбора за европске интеграције и НКЕУ; констатује да релевантни одбори разматрају годишње извештаје независних државних институцијa и регулаторних тела за 2017. годину како би поднели своје предлоге закључака</w:t>
      </w:r>
      <w:r w:rsidR="00017580" w:rsidRPr="00B538BE">
        <w:rPr>
          <w:lang w:val="sr"/>
        </w:rPr>
        <w:t xml:space="preserve"> Народној скупштини и </w:t>
      </w:r>
      <w:r w:rsidR="003A1918" w:rsidRPr="00B538BE">
        <w:rPr>
          <w:lang w:val="sr-Cyrl-RS"/>
        </w:rPr>
        <w:t>охрабрује</w:t>
      </w:r>
      <w:r w:rsidR="00014F8A" w:rsidRPr="00B538BE">
        <w:rPr>
          <w:lang w:val="sr"/>
        </w:rPr>
        <w:t xml:space="preserve"> редовну расправу о тим извештајима;</w:t>
      </w:r>
    </w:p>
    <w:p w:rsidR="00014F8A" w:rsidRPr="00B538BE" w:rsidRDefault="00014F8A" w:rsidP="00014F8A">
      <w:pPr>
        <w:pStyle w:val="ListParagraph"/>
      </w:pPr>
    </w:p>
    <w:p w:rsidR="00014F8A" w:rsidRPr="00B538BE" w:rsidRDefault="00014F8A" w:rsidP="00014F8A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>Констатује да је остварен одређени напредак у складу са препорукама ОЕБС/ОДИХР-а са претходних избора; истиче потребу за пуним спровођењем преосталих препорука из завршног извештаја Мисије ОЕБС/ОДИХР-а за посматрање избора, пре свега уважавајући приоритетне препоруке;</w:t>
      </w:r>
    </w:p>
    <w:p w:rsidR="00014F8A" w:rsidRPr="00B538BE" w:rsidRDefault="00014F8A" w:rsidP="00014F8A">
      <w:pPr>
        <w:pStyle w:val="ListParagraph"/>
      </w:pPr>
    </w:p>
    <w:p w:rsidR="00E32A27" w:rsidRPr="00E32A27" w:rsidRDefault="00014F8A" w:rsidP="00014F8A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>Истиче постојање законодавног и институционалног оквира за поштовање међународног права о заштити људских права; истиче да је неопходно стално спровођење тог оквира у целој земљи и у том с</w:t>
      </w:r>
      <w:r w:rsidR="00BA51C7" w:rsidRPr="00B538BE">
        <w:rPr>
          <w:lang w:val="sr"/>
        </w:rPr>
        <w:t xml:space="preserve">мислу подржава даље спровођење </w:t>
      </w:r>
      <w:r w:rsidR="00BA51C7" w:rsidRPr="00B538BE">
        <w:rPr>
          <w:lang w:val="sr-Cyrl-RS"/>
        </w:rPr>
        <w:t>А</w:t>
      </w:r>
      <w:r w:rsidRPr="00B538BE">
        <w:rPr>
          <w:lang w:val="sr"/>
        </w:rPr>
        <w:t xml:space="preserve">кционог плана за права националних мањина и све одрживе активности усмерене на унапређење положаја особа које су припадници рањивих група и мањина, посебно у области образовања, званичне употребе језика, медија и културе мањина, као и адекватну заступљеност на свим нивоима јавне управе и правосуђа; </w:t>
      </w:r>
    </w:p>
    <w:p w:rsidR="00E32A27" w:rsidRPr="00E32A27" w:rsidRDefault="00E32A27" w:rsidP="00E32A27">
      <w:pPr>
        <w:pStyle w:val="ListParagraph"/>
        <w:rPr>
          <w:lang w:val="sr"/>
        </w:rPr>
      </w:pPr>
    </w:p>
    <w:p w:rsidR="00014F8A" w:rsidRPr="00B538BE" w:rsidRDefault="00E32A27" w:rsidP="00014F8A">
      <w:pPr>
        <w:pStyle w:val="ListParagraph"/>
        <w:numPr>
          <w:ilvl w:val="0"/>
          <w:numId w:val="3"/>
        </w:numPr>
      </w:pPr>
      <w:r>
        <w:rPr>
          <w:lang w:val="sr-Cyrl-RS"/>
        </w:rPr>
        <w:t>П</w:t>
      </w:r>
      <w:r w:rsidR="00014F8A" w:rsidRPr="00B538BE">
        <w:rPr>
          <w:lang w:val="sr"/>
        </w:rPr>
        <w:t>отврђује активно учешће националних мањина ове земље у изборним циклусима и добру праксу успостављања бирачких одбора у којима су националне мањине једнако заступљене;</w:t>
      </w:r>
      <w:r>
        <w:rPr>
          <w:lang w:val="sr-Cyrl-RS"/>
        </w:rPr>
        <w:t xml:space="preserve"> </w:t>
      </w:r>
      <w:r w:rsidRPr="00E32A27">
        <w:rPr>
          <w:lang w:val="sr"/>
        </w:rPr>
        <w:t>подстиче припаднике заједница националних мањина да активно учеств</w:t>
      </w:r>
      <w:r w:rsidR="00320FE5">
        <w:rPr>
          <w:lang w:val="sr"/>
        </w:rPr>
        <w:t xml:space="preserve">ују у предстојећим изборима за </w:t>
      </w:r>
      <w:r w:rsidR="00320FE5">
        <w:rPr>
          <w:lang w:val="sr-Cyrl-RS"/>
        </w:rPr>
        <w:t>н</w:t>
      </w:r>
      <w:r w:rsidRPr="00E32A27">
        <w:rPr>
          <w:lang w:val="sr"/>
        </w:rPr>
        <w:t>ационалне савете националних мањина;</w:t>
      </w:r>
      <w:r w:rsidRPr="00B538BE">
        <w:rPr>
          <w:lang w:val="sr"/>
        </w:rPr>
        <w:t xml:space="preserve"> </w:t>
      </w:r>
      <w:r w:rsidR="00014F8A" w:rsidRPr="00B538BE">
        <w:rPr>
          <w:lang w:val="sr"/>
        </w:rPr>
        <w:t>констатује да је Парламент усвојио предлоге оквира права мањина, посебно Закона о националним саветима националних мањина; подржава проактивно промовисање културе инклузије и то</w:t>
      </w:r>
      <w:r w:rsidR="00320FE5">
        <w:rPr>
          <w:lang w:val="sr"/>
        </w:rPr>
        <w:t xml:space="preserve">леранције; поздравља то што је </w:t>
      </w:r>
      <w:r w:rsidR="00320FE5">
        <w:rPr>
          <w:lang w:val="sr-Cyrl-RS"/>
        </w:rPr>
        <w:t>б</w:t>
      </w:r>
      <w:r w:rsidR="00320FE5">
        <w:rPr>
          <w:lang w:val="sr"/>
        </w:rPr>
        <w:t xml:space="preserve">еоградска </w:t>
      </w:r>
      <w:r w:rsidR="00320FE5">
        <w:rPr>
          <w:lang w:val="sr-Cyrl-RS"/>
        </w:rPr>
        <w:t>П</w:t>
      </w:r>
      <w:r w:rsidR="00014F8A" w:rsidRPr="00B538BE">
        <w:rPr>
          <w:lang w:val="sr"/>
        </w:rPr>
        <w:t xml:space="preserve">арада поноса која је одржана 16. септембра 2018. године протекла без </w:t>
      </w:r>
      <w:r w:rsidR="00943D4E" w:rsidRPr="00B538BE">
        <w:rPr>
          <w:lang w:val="sr-Cyrl-RS"/>
        </w:rPr>
        <w:t xml:space="preserve">иједног </w:t>
      </w:r>
      <w:r w:rsidR="00943D4E" w:rsidRPr="00B538BE">
        <w:rPr>
          <w:lang w:val="sr"/>
        </w:rPr>
        <w:t>инциден</w:t>
      </w:r>
      <w:r w:rsidR="001B2E52">
        <w:rPr>
          <w:lang w:val="sr"/>
        </w:rPr>
        <w:t xml:space="preserve">та; </w:t>
      </w:r>
      <w:r w:rsidR="00014F8A" w:rsidRPr="00B538BE">
        <w:rPr>
          <w:lang w:val="sr"/>
        </w:rPr>
        <w:t>подржава активности које се спроводе у циљу усвајања Закона о родној равноправности;</w:t>
      </w:r>
    </w:p>
    <w:p w:rsidR="00014F8A" w:rsidRPr="00B538BE" w:rsidRDefault="00014F8A" w:rsidP="00014F8A">
      <w:pPr>
        <w:pStyle w:val="ListParagraph"/>
      </w:pPr>
    </w:p>
    <w:p w:rsidR="00014F8A" w:rsidRPr="00B538BE" w:rsidRDefault="00014F8A" w:rsidP="00D74915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>Понавља важност слободе изражавања и медија и поново позива на остваривање већег напретка у овом смислу; истиче важност спречавања сваке могуће претње новинарима, насиља над њима и застрашивања новинара и у том смислу поздравља Споразум о сарадњи и мерама за подизање нивоа безбедности новинара који су потписали Тужилаштво, Министарство унутрашњих послова и медијска удружења; позива на одлучно унапређење ситуације у погледу слободе изражавања, констатује тврдње о аутоцензури медија; позива на пуно спровођење медијских закона; поздравља иницијативу измене медијске стратегије на инклузиван начин</w:t>
      </w:r>
      <w:r w:rsidRPr="0099638F">
        <w:rPr>
          <w:lang w:val="sr"/>
        </w:rPr>
        <w:t xml:space="preserve">; </w:t>
      </w:r>
      <w:r w:rsidR="00253E32" w:rsidRPr="0099638F">
        <w:rPr>
          <w:lang w:val="sr-Cyrl-RS"/>
        </w:rPr>
        <w:t>позива на</w:t>
      </w:r>
      <w:r w:rsidRPr="00B538BE">
        <w:rPr>
          <w:lang w:val="sr"/>
        </w:rPr>
        <w:t xml:space="preserve"> унапређење културе новинарства и јачање саморегулаторног система и доследан рад Регулаторног тела за електронске медије; истиче важност потпуне транспарентности у власништву над медијима и финансирању медија; истиче важност информисања о бенефитима које ЕУ доноси грађанима Србије;</w:t>
      </w:r>
    </w:p>
    <w:p w:rsidR="00014F8A" w:rsidRPr="00B538BE" w:rsidRDefault="00014F8A" w:rsidP="00D74915">
      <w:pPr>
        <w:pStyle w:val="ListParagraph"/>
      </w:pPr>
    </w:p>
    <w:p w:rsidR="00D74915" w:rsidRPr="00D74915" w:rsidRDefault="00014F8A" w:rsidP="00D74915">
      <w:pPr>
        <w:pStyle w:val="ListParagraph"/>
        <w:numPr>
          <w:ilvl w:val="0"/>
          <w:numId w:val="3"/>
        </w:numPr>
        <w:spacing w:after="160" w:line="259" w:lineRule="auto"/>
      </w:pPr>
      <w:r w:rsidRPr="00D74915">
        <w:rPr>
          <w:lang w:val="sr"/>
        </w:rPr>
        <w:t xml:space="preserve">Позива партнере са Западног Балкана да наставе да подстичу атмосферу поштовања и толеранције и да осуђују све облике говора мржње, злочина </w:t>
      </w:r>
      <w:r w:rsidRPr="00D74915">
        <w:rPr>
          <w:lang w:val="sr"/>
        </w:rPr>
        <w:lastRenderedPageBreak/>
        <w:t>против човечности и ратних злочина; истиче да је пуна сарадња са Механизмом за међународне кривичне судове (ММК</w:t>
      </w:r>
      <w:r w:rsidR="00921FE6" w:rsidRPr="00D74915">
        <w:rPr>
          <w:lang w:val="sr"/>
        </w:rPr>
        <w:t>С) и даље суштинск</w:t>
      </w:r>
      <w:r w:rsidR="00921FE6" w:rsidRPr="00D74915">
        <w:rPr>
          <w:lang w:val="sr-Cyrl-RS"/>
        </w:rPr>
        <w:t>и</w:t>
      </w:r>
      <w:r w:rsidR="00921FE6" w:rsidRPr="00D74915">
        <w:rPr>
          <w:lang w:val="sr"/>
        </w:rPr>
        <w:t xml:space="preserve"> важн</w:t>
      </w:r>
      <w:r w:rsidR="00921FE6" w:rsidRPr="00D74915">
        <w:rPr>
          <w:lang w:val="sr-Cyrl-RS"/>
        </w:rPr>
        <w:t>а</w:t>
      </w:r>
      <w:r w:rsidRPr="00D74915">
        <w:rPr>
          <w:lang w:val="sr"/>
        </w:rPr>
        <w:t xml:space="preserve">; позива да се ратни злочини третирају без дискриминације, да се реши проблем </w:t>
      </w:r>
      <w:r w:rsidRPr="00E46CDB">
        <w:rPr>
          <w:lang w:val="sr"/>
        </w:rPr>
        <w:t>некажњивост</w:t>
      </w:r>
      <w:r w:rsidR="001B2E52" w:rsidRPr="00E46CDB">
        <w:rPr>
          <w:lang w:val="sr"/>
        </w:rPr>
        <w:t>и</w:t>
      </w:r>
      <w:r w:rsidR="001B2E52" w:rsidRPr="00D74915">
        <w:rPr>
          <w:lang w:val="sr"/>
        </w:rPr>
        <w:t xml:space="preserve"> и да се обезбеди одговорност;</w:t>
      </w:r>
      <w:r w:rsidR="001B2E52" w:rsidRPr="00D74915">
        <w:rPr>
          <w:lang w:val="sr-Cyrl-RS"/>
        </w:rPr>
        <w:t xml:space="preserve"> </w:t>
      </w:r>
      <w:r w:rsidRPr="00D74915">
        <w:rPr>
          <w:lang w:val="sr"/>
        </w:rPr>
        <w:t>похваљује координациони механизам који је успостављен између тужилаца за ратне злочине Србије, Хрватске и Босне и Херцеговине и апелује на све надлежне да наставе да раде на питању судбине несталих, лоцирању масовних гробница и гарантовању права жртава и њихових породица; понавља подршку иницијативи да се успостави Регионална комисија за утврђивање чињеница о ратним злочинима и другим озбиљним кршењима људских права почињеним у бившој Југославији (</w:t>
      </w:r>
      <w:r w:rsidRPr="00D74915">
        <w:rPr>
          <w:i/>
          <w:iCs/>
          <w:lang w:val="sr"/>
        </w:rPr>
        <w:t>RECOM</w:t>
      </w:r>
      <w:r w:rsidR="00525E19" w:rsidRPr="00D74915">
        <w:rPr>
          <w:lang w:val="sr"/>
        </w:rPr>
        <w:t xml:space="preserve">); </w:t>
      </w:r>
      <w:r w:rsidR="009871C7" w:rsidRPr="00D74915">
        <w:rPr>
          <w:lang w:val="sr"/>
        </w:rPr>
        <w:t xml:space="preserve">поздравља то што је Тужилаштво за ратне злочине усвојило „Тужилачку стратегију за истрагу и гоњење ратних злочина у Републици Србији за период 2018 - 2023“; </w:t>
      </w:r>
      <w:r w:rsidRPr="00D74915">
        <w:rPr>
          <w:lang w:val="sr"/>
        </w:rPr>
        <w:t>охрабрује отвореност српских власти з</w:t>
      </w:r>
      <w:r w:rsidR="00DD2EC7">
        <w:rPr>
          <w:lang w:val="sr"/>
        </w:rPr>
        <w:t>а разговор о отвореним билатер</w:t>
      </w:r>
      <w:r w:rsidR="00DD2EC7">
        <w:rPr>
          <w:lang w:val="sr-Cyrl-RS"/>
        </w:rPr>
        <w:t>ал</w:t>
      </w:r>
      <w:bookmarkStart w:id="0" w:name="_GoBack"/>
      <w:bookmarkEnd w:id="0"/>
      <w:r w:rsidRPr="00D74915">
        <w:rPr>
          <w:lang w:val="sr"/>
        </w:rPr>
        <w:t>ним питањима и њихово</w:t>
      </w:r>
      <w:r w:rsidR="00525E19" w:rsidRPr="00D74915">
        <w:rPr>
          <w:lang w:val="sr"/>
        </w:rPr>
        <w:t xml:space="preserve"> превазилажењ</w:t>
      </w:r>
      <w:r w:rsidR="00291654" w:rsidRPr="00D74915">
        <w:rPr>
          <w:lang w:val="sr"/>
        </w:rPr>
        <w:t>е</w:t>
      </w:r>
      <w:r w:rsidRPr="00D74915">
        <w:rPr>
          <w:lang w:val="sr"/>
        </w:rPr>
        <w:t xml:space="preserve"> кроз дијалог; констатује активно учешће Србије у </w:t>
      </w:r>
      <w:r w:rsidR="006C365F" w:rsidRPr="00D74915">
        <w:rPr>
          <w:lang w:val="sr-Cyrl-RS"/>
        </w:rPr>
        <w:t xml:space="preserve">великом броју </w:t>
      </w:r>
      <w:r w:rsidRPr="00D74915">
        <w:rPr>
          <w:lang w:val="sr"/>
        </w:rPr>
        <w:t>иницијатива за регионалну сарадњу.</w:t>
      </w:r>
      <w:r w:rsidR="00D74915" w:rsidRPr="00D74915">
        <w:rPr>
          <w:lang w:val="sr"/>
        </w:rPr>
        <w:t xml:space="preserve"> </w:t>
      </w:r>
    </w:p>
    <w:p w:rsidR="00D74915" w:rsidRPr="00D74915" w:rsidRDefault="00D74915" w:rsidP="00D74915">
      <w:pPr>
        <w:pStyle w:val="ListParagraph"/>
        <w:spacing w:after="160" w:line="259" w:lineRule="auto"/>
      </w:pPr>
    </w:p>
    <w:p w:rsidR="00D74915" w:rsidRPr="00D74915" w:rsidRDefault="00014F8A" w:rsidP="00FA4211">
      <w:pPr>
        <w:pStyle w:val="ListParagraph"/>
        <w:numPr>
          <w:ilvl w:val="0"/>
          <w:numId w:val="3"/>
        </w:numPr>
        <w:spacing w:after="160" w:line="259" w:lineRule="auto"/>
        <w:contextualSpacing w:val="0"/>
        <w:rPr>
          <w:color w:val="000000"/>
          <w:bdr w:val="none" w:sz="0" w:space="0" w:color="auto" w:frame="1"/>
          <w:lang w:val="sr-Cyrl-RS"/>
        </w:rPr>
      </w:pPr>
      <w:r w:rsidRPr="00D74915">
        <w:rPr>
          <w:rFonts w:eastAsia="Arial Unicode MS"/>
          <w:color w:val="000000"/>
          <w:u w:color="000000"/>
          <w:bdr w:val="nil"/>
          <w:lang w:val="sr"/>
        </w:rPr>
        <w:t>Поздравља формирање посебног Министарства за заштиту животне средине 2017. године, што одражава повећање свести о животној средини у Србији; констатује постепено побољшање квалитета јавних распр</w:t>
      </w:r>
      <w:r w:rsidR="001B2E52" w:rsidRPr="00D74915">
        <w:rPr>
          <w:rFonts w:eastAsia="Arial Unicode MS"/>
          <w:color w:val="000000"/>
          <w:u w:color="000000"/>
          <w:bdr w:val="nil"/>
          <w:lang w:val="sr"/>
        </w:rPr>
        <w:t>ава о питањима животне средине;</w:t>
      </w:r>
      <w:r w:rsidR="001B2E52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 w:rsidRPr="00D74915">
        <w:rPr>
          <w:rFonts w:eastAsia="Arial Unicode MS"/>
          <w:color w:val="000000"/>
          <w:u w:color="000000"/>
          <w:bdr w:val="nil"/>
          <w:lang w:val="sr"/>
        </w:rPr>
        <w:t>истиче важност повећања капацитета и унапређења међуинституционалне сарадње на свим нивоима, као и успостављања одрживог механизма финансирања за инвестиције у животну средину на основу начела „загађивач плаћа”;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поздравља напоре које ова земља улаже у подстицање инвестиција у областима енергетске ефикасности и обновљивих извора енергије;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наглашава важност законодавног усклађивања са одговарајућим директивама ЕУ; подржава диверсификацију извора енергије у циљу коришћења других обновљиви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>х извора; наглашава важност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делотворнијих политика за решавање питања загађености ваздуха у највећим градовима, нарочито у погледу одрживе мобилности и јавног превоза, као и на значајна побољшања у погледу управљања отпадом;</w:t>
      </w:r>
    </w:p>
    <w:p w:rsidR="00D74915" w:rsidRPr="00D74915" w:rsidRDefault="00D74915" w:rsidP="00D74915">
      <w:pPr>
        <w:pStyle w:val="ListParagraph"/>
        <w:rPr>
          <w:color w:val="000000"/>
          <w:bdr w:val="none" w:sz="0" w:space="0" w:color="auto" w:frame="1"/>
          <w:lang w:val="sr-Cyrl-RS"/>
        </w:rPr>
      </w:pPr>
    </w:p>
    <w:p w:rsidR="00D74915" w:rsidRPr="00D74915" w:rsidRDefault="00D74915" w:rsidP="00FA4211">
      <w:pPr>
        <w:pStyle w:val="ListParagraph"/>
        <w:numPr>
          <w:ilvl w:val="0"/>
          <w:numId w:val="3"/>
        </w:numPr>
        <w:spacing w:after="160" w:line="259" w:lineRule="auto"/>
        <w:contextualSpacing w:val="0"/>
        <w:rPr>
          <w:rFonts w:eastAsia="Arial Unicode MS"/>
          <w:color w:val="000000"/>
          <w:u w:color="000000"/>
          <w:bdr w:val="nil"/>
          <w:lang w:val="sr-Cyrl-RS"/>
        </w:rPr>
      </w:pPr>
      <w:r w:rsidRPr="00D74915">
        <w:rPr>
          <w:rFonts w:eastAsia="Arial Unicode MS"/>
          <w:color w:val="000000"/>
          <w:u w:color="000000"/>
          <w:bdr w:val="nil"/>
          <w:lang w:val="sr-Cyrl-RS"/>
        </w:rPr>
        <w:t>Истиче важност веће повезаности са Западним Балканом, као и између Западног Балкана и Европске уније,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што је</w:t>
      </w:r>
      <w:r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кључни ф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>актор за раст и радна места, који</w:t>
      </w:r>
      <w:r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ће даље ст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>имулисати инвестиције у региону;</w:t>
      </w:r>
      <w:r w:rsidRPr="00763DC9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>п</w:t>
      </w:r>
      <w:r w:rsidRPr="00D74915">
        <w:rPr>
          <w:rFonts w:eastAsia="Arial Unicode MS"/>
          <w:color w:val="000000"/>
          <w:u w:color="000000"/>
          <w:bdr w:val="nil"/>
          <w:lang w:val="sr-Cyrl-RS"/>
        </w:rPr>
        <w:t>одсећа и на то да су усвајање техничких стандарда и спровођење меких мера као што су усклађивање и поједностављивање поступака за прелазак границе, реформе железнице, информациони системи, безбедност саобраћаја на путевима и планови одржавања, приступ трећих страна и јачање капацитета социјалних партнера, једнако важни за привреду, али и за унапређење јавних услуга</w:t>
      </w:r>
      <w:r>
        <w:rPr>
          <w:rFonts w:eastAsia="Arial Unicode MS"/>
          <w:color w:val="000000"/>
          <w:u w:color="000000"/>
          <w:bdr w:val="nil"/>
          <w:lang w:val="sr-Cyrl-RS"/>
        </w:rPr>
        <w:t>;</w:t>
      </w:r>
    </w:p>
    <w:p w:rsidR="00014F8A" w:rsidRPr="00B538BE" w:rsidRDefault="00014F8A" w:rsidP="00D74915">
      <w:pPr>
        <w:pStyle w:val="ListParagraph"/>
      </w:pPr>
    </w:p>
    <w:p w:rsidR="006102CF" w:rsidRPr="00AF26D8" w:rsidRDefault="00014F8A" w:rsidP="00D74915">
      <w:pPr>
        <w:pStyle w:val="ListParagraph"/>
        <w:numPr>
          <w:ilvl w:val="0"/>
          <w:numId w:val="3"/>
        </w:numPr>
      </w:pPr>
      <w:r w:rsidRPr="00B538BE">
        <w:rPr>
          <w:lang w:val="sr"/>
        </w:rPr>
        <w:t xml:space="preserve">Изражава даљу подршку повећаној регионалној сарадњи у оквиру „Берлинског процеса“, укључујући и сарадњу на помирењу; </w:t>
      </w:r>
      <w:r w:rsidR="00AF26D8" w:rsidRPr="00AF26D8">
        <w:rPr>
          <w:bCs/>
          <w:iCs/>
          <w:lang w:val="sr-Cyrl-RS"/>
        </w:rPr>
        <w:t>наглашава</w:t>
      </w:r>
      <w:r w:rsidR="00AF26D8" w:rsidRPr="0051190D">
        <w:rPr>
          <w:bCs/>
          <w:iCs/>
          <w:lang w:val="sr-Cyrl-RS"/>
        </w:rPr>
        <w:t>, међутим, да Берлински процес не може постати замена за процес проширења</w:t>
      </w:r>
      <w:r w:rsidR="00AF26D8" w:rsidRPr="0051190D">
        <w:rPr>
          <w:lang w:val="sr-Cyrl-RS"/>
        </w:rPr>
        <w:t>;</w:t>
      </w:r>
      <w:r w:rsidR="00AF26D8" w:rsidRPr="00763DC9">
        <w:rPr>
          <w:lang w:val="sr-Cyrl-RS"/>
        </w:rPr>
        <w:t xml:space="preserve"> </w:t>
      </w:r>
      <w:r w:rsidRPr="00B538BE">
        <w:rPr>
          <w:lang w:val="sr"/>
        </w:rPr>
        <w:t>позива на даљи развој регионалног привредног подручја (РЕП)</w:t>
      </w:r>
      <w:r w:rsidR="00291654" w:rsidRPr="00B538BE">
        <w:rPr>
          <w:lang w:val="sr-Cyrl-RS"/>
        </w:rPr>
        <w:t>,</w:t>
      </w:r>
      <w:r w:rsidRPr="00B538BE">
        <w:rPr>
          <w:lang w:val="sr"/>
        </w:rPr>
        <w:t xml:space="preserve"> </w:t>
      </w:r>
      <w:r w:rsidR="00291654" w:rsidRPr="00B538BE">
        <w:rPr>
          <w:lang w:val="sr-Cyrl-RS"/>
        </w:rPr>
        <w:t>што</w:t>
      </w:r>
      <w:r w:rsidRPr="00B538BE">
        <w:rPr>
          <w:lang w:val="sr"/>
        </w:rPr>
        <w:t xml:space="preserve"> већ у овој фази има позитиван утицај на регионалне трговинске токове; поздравља несумњиву </w:t>
      </w:r>
      <w:r w:rsidRPr="00B538BE">
        <w:rPr>
          <w:lang w:val="sr"/>
        </w:rPr>
        <w:lastRenderedPageBreak/>
        <w:t>подршку европској перспективи Западног Балкана која је поново потврђена на Самиту у Софији 17. маја 2018. године, као и усвајање Декларације из Софије; подсећа на изјаву да је ЕУ одлучна да ојача и интензивира своју ангажованост на свим нивоима како би подржала политичку, економску и друштвену трансформацију овог региона, укљу</w:t>
      </w:r>
      <w:r w:rsidR="00AB32C9" w:rsidRPr="00B538BE">
        <w:rPr>
          <w:lang w:val="sr"/>
        </w:rPr>
        <w:t>чујући и кроз</w:t>
      </w:r>
      <w:r w:rsidR="006631F0" w:rsidRPr="00B538BE">
        <w:rPr>
          <w:lang w:val="sr-Cyrl-RS"/>
        </w:rPr>
        <w:t xml:space="preserve"> већу</w:t>
      </w:r>
      <w:r w:rsidR="00AB32C9" w:rsidRPr="00B538BE">
        <w:rPr>
          <w:lang w:val="sr"/>
        </w:rPr>
        <w:t xml:space="preserve"> помоћ партнера </w:t>
      </w:r>
      <w:r w:rsidRPr="00B538BE">
        <w:rPr>
          <w:lang w:val="sr"/>
        </w:rPr>
        <w:t>Западног Балкана засновану на опипљивом напретку у владавини права, као и у друштвено-економским реформама; снажно подржава обећање партнера са Западног Балкана да ће наставити са оснаживањем добросуседских односа, регионалне стабилности и узајамне сарадње и у том смисл</w:t>
      </w:r>
      <w:r w:rsidR="006631F0" w:rsidRPr="00B538BE">
        <w:rPr>
          <w:lang w:val="sr"/>
        </w:rPr>
        <w:t>у; поздравља доношење Заједничк</w:t>
      </w:r>
      <w:r w:rsidR="006631F0" w:rsidRPr="00B538BE">
        <w:rPr>
          <w:lang w:val="sr-Cyrl-RS"/>
        </w:rPr>
        <w:t>их</w:t>
      </w:r>
      <w:r w:rsidR="006631F0" w:rsidRPr="00B538BE">
        <w:rPr>
          <w:lang w:val="sr"/>
        </w:rPr>
        <w:t xml:space="preserve"> декларациј</w:t>
      </w:r>
      <w:r w:rsidR="006631F0" w:rsidRPr="00B538BE">
        <w:rPr>
          <w:lang w:val="sr-Cyrl-RS"/>
        </w:rPr>
        <w:t>а</w:t>
      </w:r>
      <w:r w:rsidRPr="00B538BE">
        <w:rPr>
          <w:lang w:val="sr"/>
        </w:rPr>
        <w:t xml:space="preserve"> у оквиру Самита Западног Балкана одржаног 10. јула 2018. године у Лондону; </w:t>
      </w:r>
    </w:p>
    <w:p w:rsidR="00AF26D8" w:rsidRDefault="00AF26D8" w:rsidP="00AF26D8">
      <w:pPr>
        <w:pStyle w:val="ListParagraph"/>
      </w:pPr>
    </w:p>
    <w:p w:rsidR="00AF26D8" w:rsidRPr="00AF26D8" w:rsidRDefault="00AF26D8" w:rsidP="00D74915">
      <w:pPr>
        <w:pStyle w:val="ListParagraph"/>
        <w:numPr>
          <w:ilvl w:val="0"/>
          <w:numId w:val="3"/>
        </w:numPr>
        <w:rPr>
          <w:lang w:val="sr"/>
        </w:rPr>
      </w:pPr>
      <w:r w:rsidRPr="00AF26D8">
        <w:rPr>
          <w:lang w:val="sr"/>
        </w:rPr>
        <w:t>Похваљује финанси</w:t>
      </w:r>
      <w:r w:rsidR="00E038F2">
        <w:rPr>
          <w:lang w:val="sr"/>
        </w:rPr>
        <w:t>јску помоћ ЕУ за Србију, IPA II</w:t>
      </w:r>
      <w:r w:rsidRPr="00AF26D8">
        <w:rPr>
          <w:lang w:val="sr"/>
        </w:rPr>
        <w:t xml:space="preserve"> 2014-2020 за спровођење програма и пројеката, која </w:t>
      </w:r>
      <w:r w:rsidR="0051190D">
        <w:rPr>
          <w:lang w:val="sr-Cyrl-RS"/>
        </w:rPr>
        <w:t>ће</w:t>
      </w:r>
      <w:r w:rsidRPr="00AF26D8">
        <w:rPr>
          <w:lang w:val="sr"/>
        </w:rPr>
        <w:t xml:space="preserve"> доприне</w:t>
      </w:r>
      <w:r w:rsidR="0051190D">
        <w:rPr>
          <w:lang w:val="sr-Cyrl-RS"/>
        </w:rPr>
        <w:t>ти</w:t>
      </w:r>
      <w:r w:rsidRPr="00AF26D8">
        <w:rPr>
          <w:lang w:val="sr"/>
        </w:rPr>
        <w:t xml:space="preserve"> спровођењу политичких, економских, правосудних и институционалних реформи као предуслов за напредак Србије у процесу приступања ЕУ.</w:t>
      </w:r>
    </w:p>
    <w:p w:rsidR="00DB38FA" w:rsidRPr="00B538BE" w:rsidRDefault="00DB38FA" w:rsidP="008719D8">
      <w:pPr>
        <w:pStyle w:val="ListParagraph"/>
      </w:pPr>
    </w:p>
    <w:sectPr w:rsidR="00DB38FA" w:rsidRPr="00B538BE" w:rsidSect="00952D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17" w:rsidRDefault="00202617" w:rsidP="00014F8A">
      <w:r>
        <w:separator/>
      </w:r>
    </w:p>
  </w:endnote>
  <w:endnote w:type="continuationSeparator" w:id="0">
    <w:p w:rsidR="00202617" w:rsidRDefault="00202617" w:rsidP="0001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17" w:rsidRDefault="00202617" w:rsidP="00014F8A">
      <w:r>
        <w:separator/>
      </w:r>
    </w:p>
  </w:footnote>
  <w:footnote w:type="continuationSeparator" w:id="0">
    <w:p w:rsidR="00202617" w:rsidRDefault="00202617" w:rsidP="0001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1672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7F5F99" w:rsidRPr="00014F8A" w:rsidRDefault="00952D16">
        <w:pPr>
          <w:pStyle w:val="Header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cstheme="minorHAnsi"/>
            <w:sz w:val="20"/>
            <w:szCs w:val="20"/>
            <w:lang w:val="sr"/>
          </w:rPr>
          <w:fldChar w:fldCharType="begin"/>
        </w:r>
        <w:r>
          <w:rPr>
            <w:rFonts w:cstheme="minorHAnsi"/>
            <w:sz w:val="20"/>
            <w:szCs w:val="20"/>
            <w:lang w:val="sr"/>
          </w:rPr>
          <w:instrText xml:space="preserve"> PAGE   \* MERGEFORMAT </w:instrText>
        </w:r>
        <w:r>
          <w:rPr>
            <w:rFonts w:cstheme="minorHAnsi"/>
            <w:sz w:val="20"/>
            <w:szCs w:val="20"/>
            <w:lang w:val="sr"/>
          </w:rPr>
          <w:fldChar w:fldCharType="separate"/>
        </w:r>
        <w:r w:rsidR="00DD2EC7">
          <w:rPr>
            <w:rFonts w:cstheme="minorHAnsi"/>
            <w:noProof/>
            <w:sz w:val="20"/>
            <w:szCs w:val="20"/>
            <w:lang w:val="sr"/>
          </w:rPr>
          <w:t>6</w:t>
        </w:r>
        <w:r>
          <w:rPr>
            <w:rFonts w:cstheme="minorHAnsi"/>
            <w:noProof/>
            <w:sz w:val="20"/>
            <w:szCs w:val="20"/>
            <w:lang w:val="sr"/>
          </w:rPr>
          <w:fldChar w:fldCharType="end"/>
        </w:r>
      </w:p>
    </w:sdtContent>
  </w:sdt>
  <w:p w:rsidR="007F5F99" w:rsidRDefault="007F5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6D"/>
    <w:multiLevelType w:val="hybridMultilevel"/>
    <w:tmpl w:val="CBBA3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F56BDD"/>
    <w:multiLevelType w:val="hybridMultilevel"/>
    <w:tmpl w:val="E5880D7E"/>
    <w:lvl w:ilvl="0" w:tplc="F5263754">
      <w:start w:val="6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C20FE7"/>
    <w:multiLevelType w:val="hybridMultilevel"/>
    <w:tmpl w:val="DD6402D6"/>
    <w:lvl w:ilvl="0" w:tplc="11A2F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A"/>
    <w:rsid w:val="00000FB2"/>
    <w:rsid w:val="000078A2"/>
    <w:rsid w:val="00014F8A"/>
    <w:rsid w:val="00017580"/>
    <w:rsid w:val="00021A9C"/>
    <w:rsid w:val="000234DB"/>
    <w:rsid w:val="000245D4"/>
    <w:rsid w:val="00025936"/>
    <w:rsid w:val="00027160"/>
    <w:rsid w:val="000345BE"/>
    <w:rsid w:val="00035F9E"/>
    <w:rsid w:val="0004075E"/>
    <w:rsid w:val="00052674"/>
    <w:rsid w:val="00054EED"/>
    <w:rsid w:val="00056841"/>
    <w:rsid w:val="0008213A"/>
    <w:rsid w:val="0008393D"/>
    <w:rsid w:val="00091AEB"/>
    <w:rsid w:val="00092DD6"/>
    <w:rsid w:val="00094F73"/>
    <w:rsid w:val="00096D31"/>
    <w:rsid w:val="000A0F79"/>
    <w:rsid w:val="000A17C9"/>
    <w:rsid w:val="000A1FCC"/>
    <w:rsid w:val="000A782E"/>
    <w:rsid w:val="000B1D3E"/>
    <w:rsid w:val="000B3AAC"/>
    <w:rsid w:val="000C4DB9"/>
    <w:rsid w:val="000C5AAE"/>
    <w:rsid w:val="000C6540"/>
    <w:rsid w:val="000D2265"/>
    <w:rsid w:val="000E0C3A"/>
    <w:rsid w:val="001010BA"/>
    <w:rsid w:val="00103308"/>
    <w:rsid w:val="00112D54"/>
    <w:rsid w:val="00116069"/>
    <w:rsid w:val="00120696"/>
    <w:rsid w:val="001232A6"/>
    <w:rsid w:val="00124DFF"/>
    <w:rsid w:val="00132730"/>
    <w:rsid w:val="00143A96"/>
    <w:rsid w:val="00156807"/>
    <w:rsid w:val="00162DD6"/>
    <w:rsid w:val="00163762"/>
    <w:rsid w:val="0017073E"/>
    <w:rsid w:val="00173212"/>
    <w:rsid w:val="0017496E"/>
    <w:rsid w:val="00185256"/>
    <w:rsid w:val="001934C0"/>
    <w:rsid w:val="001B2E52"/>
    <w:rsid w:val="001C227C"/>
    <w:rsid w:val="001D1AAF"/>
    <w:rsid w:val="001E2C39"/>
    <w:rsid w:val="001F25E9"/>
    <w:rsid w:val="00202617"/>
    <w:rsid w:val="00202E04"/>
    <w:rsid w:val="0021488C"/>
    <w:rsid w:val="002157BF"/>
    <w:rsid w:val="00223697"/>
    <w:rsid w:val="00224493"/>
    <w:rsid w:val="00227DF2"/>
    <w:rsid w:val="00237786"/>
    <w:rsid w:val="00237CCD"/>
    <w:rsid w:val="002512D9"/>
    <w:rsid w:val="00253E32"/>
    <w:rsid w:val="00255FBD"/>
    <w:rsid w:val="0026000B"/>
    <w:rsid w:val="002637E2"/>
    <w:rsid w:val="0027371F"/>
    <w:rsid w:val="00285322"/>
    <w:rsid w:val="00291654"/>
    <w:rsid w:val="00294547"/>
    <w:rsid w:val="002D1F3B"/>
    <w:rsid w:val="002E7265"/>
    <w:rsid w:val="002F04D9"/>
    <w:rsid w:val="0030601D"/>
    <w:rsid w:val="00306FF4"/>
    <w:rsid w:val="00310149"/>
    <w:rsid w:val="00313272"/>
    <w:rsid w:val="00320FE5"/>
    <w:rsid w:val="0032367A"/>
    <w:rsid w:val="00323A20"/>
    <w:rsid w:val="003374D3"/>
    <w:rsid w:val="00340817"/>
    <w:rsid w:val="003409F6"/>
    <w:rsid w:val="003465A6"/>
    <w:rsid w:val="00352C27"/>
    <w:rsid w:val="00357DE7"/>
    <w:rsid w:val="00372A06"/>
    <w:rsid w:val="003773A2"/>
    <w:rsid w:val="00385A6F"/>
    <w:rsid w:val="003A1918"/>
    <w:rsid w:val="003B7F32"/>
    <w:rsid w:val="003D06FB"/>
    <w:rsid w:val="003D14A5"/>
    <w:rsid w:val="003E1BDA"/>
    <w:rsid w:val="003E1F86"/>
    <w:rsid w:val="003E6C4C"/>
    <w:rsid w:val="00403021"/>
    <w:rsid w:val="0040435A"/>
    <w:rsid w:val="00421B2E"/>
    <w:rsid w:val="00434372"/>
    <w:rsid w:val="00434873"/>
    <w:rsid w:val="00436AFF"/>
    <w:rsid w:val="00442521"/>
    <w:rsid w:val="00442C24"/>
    <w:rsid w:val="00447EE0"/>
    <w:rsid w:val="00454F73"/>
    <w:rsid w:val="00455349"/>
    <w:rsid w:val="004602D0"/>
    <w:rsid w:val="00467C12"/>
    <w:rsid w:val="00472B7D"/>
    <w:rsid w:val="00477006"/>
    <w:rsid w:val="00477986"/>
    <w:rsid w:val="00484B71"/>
    <w:rsid w:val="00497A83"/>
    <w:rsid w:val="004A6E61"/>
    <w:rsid w:val="004C68B3"/>
    <w:rsid w:val="004D0083"/>
    <w:rsid w:val="004D42EE"/>
    <w:rsid w:val="004E3624"/>
    <w:rsid w:val="004F1168"/>
    <w:rsid w:val="004F4F20"/>
    <w:rsid w:val="00507365"/>
    <w:rsid w:val="0051190D"/>
    <w:rsid w:val="00517CFF"/>
    <w:rsid w:val="00524D4C"/>
    <w:rsid w:val="005259AD"/>
    <w:rsid w:val="00525E19"/>
    <w:rsid w:val="00527491"/>
    <w:rsid w:val="00533D34"/>
    <w:rsid w:val="00534CB5"/>
    <w:rsid w:val="0054443A"/>
    <w:rsid w:val="005477B1"/>
    <w:rsid w:val="0055119D"/>
    <w:rsid w:val="005536B0"/>
    <w:rsid w:val="00554922"/>
    <w:rsid w:val="00565A1C"/>
    <w:rsid w:val="005762E3"/>
    <w:rsid w:val="005819DE"/>
    <w:rsid w:val="005913D3"/>
    <w:rsid w:val="005A408A"/>
    <w:rsid w:val="005B73C4"/>
    <w:rsid w:val="005D538B"/>
    <w:rsid w:val="005E22FB"/>
    <w:rsid w:val="005E2FF3"/>
    <w:rsid w:val="006102CF"/>
    <w:rsid w:val="00617020"/>
    <w:rsid w:val="00617ED4"/>
    <w:rsid w:val="00652352"/>
    <w:rsid w:val="006631F0"/>
    <w:rsid w:val="00673DD9"/>
    <w:rsid w:val="006877CB"/>
    <w:rsid w:val="006938AF"/>
    <w:rsid w:val="006A58E9"/>
    <w:rsid w:val="006A5DCE"/>
    <w:rsid w:val="006B0A61"/>
    <w:rsid w:val="006B5961"/>
    <w:rsid w:val="006C365F"/>
    <w:rsid w:val="006E7564"/>
    <w:rsid w:val="007049F4"/>
    <w:rsid w:val="0071292C"/>
    <w:rsid w:val="00723BD5"/>
    <w:rsid w:val="00734F8E"/>
    <w:rsid w:val="00735CB9"/>
    <w:rsid w:val="00737B52"/>
    <w:rsid w:val="0074587C"/>
    <w:rsid w:val="00761981"/>
    <w:rsid w:val="0076532D"/>
    <w:rsid w:val="007734CE"/>
    <w:rsid w:val="00776407"/>
    <w:rsid w:val="0077671B"/>
    <w:rsid w:val="00780345"/>
    <w:rsid w:val="00784F8D"/>
    <w:rsid w:val="007868DA"/>
    <w:rsid w:val="00792842"/>
    <w:rsid w:val="007A199D"/>
    <w:rsid w:val="007A27CE"/>
    <w:rsid w:val="007B0193"/>
    <w:rsid w:val="007B1C2F"/>
    <w:rsid w:val="007B5642"/>
    <w:rsid w:val="007B7B52"/>
    <w:rsid w:val="007C20BE"/>
    <w:rsid w:val="007C7632"/>
    <w:rsid w:val="007D42AD"/>
    <w:rsid w:val="007E0D7D"/>
    <w:rsid w:val="007E23E1"/>
    <w:rsid w:val="007E522E"/>
    <w:rsid w:val="007F48C9"/>
    <w:rsid w:val="007F5452"/>
    <w:rsid w:val="007F5F99"/>
    <w:rsid w:val="00802F82"/>
    <w:rsid w:val="00804FC5"/>
    <w:rsid w:val="0081531B"/>
    <w:rsid w:val="00822476"/>
    <w:rsid w:val="00827182"/>
    <w:rsid w:val="008426F8"/>
    <w:rsid w:val="0085307F"/>
    <w:rsid w:val="00855721"/>
    <w:rsid w:val="00871745"/>
    <w:rsid w:val="008719D8"/>
    <w:rsid w:val="00876207"/>
    <w:rsid w:val="008765BE"/>
    <w:rsid w:val="008808DD"/>
    <w:rsid w:val="00886523"/>
    <w:rsid w:val="00886F59"/>
    <w:rsid w:val="00895785"/>
    <w:rsid w:val="0089682A"/>
    <w:rsid w:val="00896AB9"/>
    <w:rsid w:val="008A310C"/>
    <w:rsid w:val="008A695E"/>
    <w:rsid w:val="008B4B85"/>
    <w:rsid w:val="008C1993"/>
    <w:rsid w:val="008D0901"/>
    <w:rsid w:val="008D5692"/>
    <w:rsid w:val="008E1A1D"/>
    <w:rsid w:val="008E32BE"/>
    <w:rsid w:val="008F2B77"/>
    <w:rsid w:val="008F376A"/>
    <w:rsid w:val="00915096"/>
    <w:rsid w:val="00921FE6"/>
    <w:rsid w:val="009254E7"/>
    <w:rsid w:val="009355F4"/>
    <w:rsid w:val="009422D8"/>
    <w:rsid w:val="00943D4E"/>
    <w:rsid w:val="009516BC"/>
    <w:rsid w:val="00952D16"/>
    <w:rsid w:val="00953130"/>
    <w:rsid w:val="00954CCA"/>
    <w:rsid w:val="00955F47"/>
    <w:rsid w:val="0096443E"/>
    <w:rsid w:val="0097134B"/>
    <w:rsid w:val="009731FB"/>
    <w:rsid w:val="0098118E"/>
    <w:rsid w:val="0098194B"/>
    <w:rsid w:val="009843B3"/>
    <w:rsid w:val="0098683B"/>
    <w:rsid w:val="009871C7"/>
    <w:rsid w:val="00987D36"/>
    <w:rsid w:val="00991720"/>
    <w:rsid w:val="00994689"/>
    <w:rsid w:val="00994FB3"/>
    <w:rsid w:val="0099638F"/>
    <w:rsid w:val="009A4FAA"/>
    <w:rsid w:val="009A5B8B"/>
    <w:rsid w:val="009A67C5"/>
    <w:rsid w:val="009D20A0"/>
    <w:rsid w:val="009E3FF6"/>
    <w:rsid w:val="009F5497"/>
    <w:rsid w:val="00A01212"/>
    <w:rsid w:val="00A01C31"/>
    <w:rsid w:val="00A04B7D"/>
    <w:rsid w:val="00A0537F"/>
    <w:rsid w:val="00A13868"/>
    <w:rsid w:val="00A23A79"/>
    <w:rsid w:val="00A277F8"/>
    <w:rsid w:val="00A41456"/>
    <w:rsid w:val="00A435FB"/>
    <w:rsid w:val="00A440E3"/>
    <w:rsid w:val="00A46BAE"/>
    <w:rsid w:val="00A5177C"/>
    <w:rsid w:val="00A5181D"/>
    <w:rsid w:val="00A52B0F"/>
    <w:rsid w:val="00A55224"/>
    <w:rsid w:val="00A601B2"/>
    <w:rsid w:val="00A8153F"/>
    <w:rsid w:val="00A830A7"/>
    <w:rsid w:val="00A90BBE"/>
    <w:rsid w:val="00A91659"/>
    <w:rsid w:val="00A96CF9"/>
    <w:rsid w:val="00AB1D14"/>
    <w:rsid w:val="00AB32C9"/>
    <w:rsid w:val="00AB4B48"/>
    <w:rsid w:val="00AC7DFF"/>
    <w:rsid w:val="00AD231A"/>
    <w:rsid w:val="00AD38AC"/>
    <w:rsid w:val="00AD43A2"/>
    <w:rsid w:val="00AE5364"/>
    <w:rsid w:val="00AF0AAE"/>
    <w:rsid w:val="00AF26D8"/>
    <w:rsid w:val="00B05DDA"/>
    <w:rsid w:val="00B23E5E"/>
    <w:rsid w:val="00B44FFE"/>
    <w:rsid w:val="00B47916"/>
    <w:rsid w:val="00B538BE"/>
    <w:rsid w:val="00B54E3D"/>
    <w:rsid w:val="00B66325"/>
    <w:rsid w:val="00B741E8"/>
    <w:rsid w:val="00B774BB"/>
    <w:rsid w:val="00BA2EB3"/>
    <w:rsid w:val="00BA51C7"/>
    <w:rsid w:val="00BB175B"/>
    <w:rsid w:val="00BB2AEE"/>
    <w:rsid w:val="00BD65CA"/>
    <w:rsid w:val="00BF7C6C"/>
    <w:rsid w:val="00C0320B"/>
    <w:rsid w:val="00C0424E"/>
    <w:rsid w:val="00C10713"/>
    <w:rsid w:val="00C2297B"/>
    <w:rsid w:val="00C32811"/>
    <w:rsid w:val="00C50DEC"/>
    <w:rsid w:val="00C56630"/>
    <w:rsid w:val="00C77456"/>
    <w:rsid w:val="00C8051E"/>
    <w:rsid w:val="00C821EF"/>
    <w:rsid w:val="00CA05E1"/>
    <w:rsid w:val="00CB2E25"/>
    <w:rsid w:val="00CB5A5F"/>
    <w:rsid w:val="00CC7F5E"/>
    <w:rsid w:val="00CD168D"/>
    <w:rsid w:val="00CD3D1C"/>
    <w:rsid w:val="00CE1A07"/>
    <w:rsid w:val="00D0149E"/>
    <w:rsid w:val="00D061DD"/>
    <w:rsid w:val="00D06B77"/>
    <w:rsid w:val="00D12348"/>
    <w:rsid w:val="00D1276C"/>
    <w:rsid w:val="00D24FF5"/>
    <w:rsid w:val="00D26A72"/>
    <w:rsid w:val="00D3363A"/>
    <w:rsid w:val="00D33BCD"/>
    <w:rsid w:val="00D36479"/>
    <w:rsid w:val="00D36B45"/>
    <w:rsid w:val="00D41AC6"/>
    <w:rsid w:val="00D46867"/>
    <w:rsid w:val="00D526EB"/>
    <w:rsid w:val="00D54C0F"/>
    <w:rsid w:val="00D56DA4"/>
    <w:rsid w:val="00D65005"/>
    <w:rsid w:val="00D74915"/>
    <w:rsid w:val="00D749EF"/>
    <w:rsid w:val="00D75B4F"/>
    <w:rsid w:val="00D75CFF"/>
    <w:rsid w:val="00D808D9"/>
    <w:rsid w:val="00D83025"/>
    <w:rsid w:val="00D9178F"/>
    <w:rsid w:val="00D973D5"/>
    <w:rsid w:val="00DA0F69"/>
    <w:rsid w:val="00DB1813"/>
    <w:rsid w:val="00DB2CD6"/>
    <w:rsid w:val="00DB38FA"/>
    <w:rsid w:val="00DB4156"/>
    <w:rsid w:val="00DC48D7"/>
    <w:rsid w:val="00DC4C5A"/>
    <w:rsid w:val="00DD2EC7"/>
    <w:rsid w:val="00DD7E74"/>
    <w:rsid w:val="00DE2BD9"/>
    <w:rsid w:val="00DF77B2"/>
    <w:rsid w:val="00DF77C3"/>
    <w:rsid w:val="00E02563"/>
    <w:rsid w:val="00E038F2"/>
    <w:rsid w:val="00E2292C"/>
    <w:rsid w:val="00E31E83"/>
    <w:rsid w:val="00E32A27"/>
    <w:rsid w:val="00E46CDB"/>
    <w:rsid w:val="00E6325D"/>
    <w:rsid w:val="00E63403"/>
    <w:rsid w:val="00E6457A"/>
    <w:rsid w:val="00E64A3D"/>
    <w:rsid w:val="00E65BBE"/>
    <w:rsid w:val="00E74AFB"/>
    <w:rsid w:val="00E81515"/>
    <w:rsid w:val="00E84777"/>
    <w:rsid w:val="00E8681F"/>
    <w:rsid w:val="00E90D30"/>
    <w:rsid w:val="00EB300C"/>
    <w:rsid w:val="00EB4515"/>
    <w:rsid w:val="00EB4BC0"/>
    <w:rsid w:val="00EC0144"/>
    <w:rsid w:val="00EC5212"/>
    <w:rsid w:val="00ED0E4A"/>
    <w:rsid w:val="00EE0330"/>
    <w:rsid w:val="00EF38D0"/>
    <w:rsid w:val="00F00752"/>
    <w:rsid w:val="00F0137D"/>
    <w:rsid w:val="00F03959"/>
    <w:rsid w:val="00F04002"/>
    <w:rsid w:val="00F22FE1"/>
    <w:rsid w:val="00F26C1C"/>
    <w:rsid w:val="00F27082"/>
    <w:rsid w:val="00F4146F"/>
    <w:rsid w:val="00F41D0C"/>
    <w:rsid w:val="00F42AD7"/>
    <w:rsid w:val="00F46DA9"/>
    <w:rsid w:val="00F470EC"/>
    <w:rsid w:val="00F47ECC"/>
    <w:rsid w:val="00F640CD"/>
    <w:rsid w:val="00F64728"/>
    <w:rsid w:val="00F909B6"/>
    <w:rsid w:val="00F97157"/>
    <w:rsid w:val="00FA2A4B"/>
    <w:rsid w:val="00FB1A3B"/>
    <w:rsid w:val="00FC596F"/>
    <w:rsid w:val="00FC5E55"/>
    <w:rsid w:val="00FE4D4B"/>
    <w:rsid w:val="00FF2175"/>
    <w:rsid w:val="00FF37CF"/>
    <w:rsid w:val="00FF3D8A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8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8A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F8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F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1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8A"/>
    <w:pPr>
      <w:spacing w:after="16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8A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F8A"/>
    <w:rPr>
      <w:color w:val="0000FF"/>
      <w:u w:val="single"/>
    </w:rPr>
  </w:style>
  <w:style w:type="paragraph" w:customStyle="1" w:styleId="Cover12">
    <w:name w:val="Cover12"/>
    <w:basedOn w:val="Normal"/>
    <w:rsid w:val="00014F8A"/>
    <w:pPr>
      <w:widowControl w:val="0"/>
      <w:spacing w:after="240"/>
      <w:ind w:left="1418"/>
      <w:jc w:val="left"/>
    </w:pPr>
    <w:rPr>
      <w:rFonts w:eastAsia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D7"/>
    <w:pPr>
      <w:spacing w:after="0"/>
      <w:jc w:val="both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8D7"/>
    <w:rPr>
      <w:rFonts w:ascii="Times New Roman" w:eastAsia="Calibr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ED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8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8A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F8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F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1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8A"/>
    <w:pPr>
      <w:spacing w:after="16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8A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F8A"/>
    <w:rPr>
      <w:color w:val="0000FF"/>
      <w:u w:val="single"/>
    </w:rPr>
  </w:style>
  <w:style w:type="paragraph" w:customStyle="1" w:styleId="Cover12">
    <w:name w:val="Cover12"/>
    <w:basedOn w:val="Normal"/>
    <w:rsid w:val="00014F8A"/>
    <w:pPr>
      <w:widowControl w:val="0"/>
      <w:spacing w:after="240"/>
      <w:ind w:left="1418"/>
      <w:jc w:val="left"/>
    </w:pPr>
    <w:rPr>
      <w:rFonts w:eastAsia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D7"/>
    <w:pPr>
      <w:spacing w:after="0"/>
      <w:jc w:val="both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8D7"/>
    <w:rPr>
      <w:rFonts w:ascii="Times New Roman" w:eastAsia="Calibr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E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212D-254F-42E8-98F9-2D1D0125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Peter</dc:creator>
  <cp:lastModifiedBy>Kristina Stancic</cp:lastModifiedBy>
  <cp:revision>10</cp:revision>
  <cp:lastPrinted>2018-10-25T09:24:00Z</cp:lastPrinted>
  <dcterms:created xsi:type="dcterms:W3CDTF">2018-10-30T13:12:00Z</dcterms:created>
  <dcterms:modified xsi:type="dcterms:W3CDTF">2018-10-31T08:07:00Z</dcterms:modified>
</cp:coreProperties>
</file>